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33659CBF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E75BD7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>S</w:t>
      </w:r>
      <w:r w:rsidR="00CE593D" w:rsidRPr="634B2577">
        <w:rPr>
          <w:rFonts w:ascii="Arial" w:hAnsi="Arial" w:cs="Arial"/>
          <w:color w:val="FF0000"/>
          <w:sz w:val="22"/>
          <w:szCs w:val="22"/>
        </w:rPr>
        <w:t xml:space="preserve">taff </w:t>
      </w:r>
      <w:r w:rsidR="004E7A19" w:rsidRPr="634B2577">
        <w:rPr>
          <w:rFonts w:ascii="Arial" w:hAnsi="Arial" w:cs="Arial"/>
          <w:color w:val="FF0000"/>
          <w:sz w:val="22"/>
          <w:szCs w:val="22"/>
        </w:rPr>
        <w:t>refer to</w:t>
      </w:r>
      <w:r w:rsidR="37836263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1">
        <w:r w:rsidR="0589B033" w:rsidRPr="634B2577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  <w:r w:rsidR="0589B033" w:rsidRPr="634B257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2D15694E" w:rsidRPr="634B2577">
        <w:rPr>
          <w:rFonts w:ascii="Arial" w:eastAsia="Arial" w:hAnsi="Arial" w:cs="Arial"/>
          <w:color w:val="FF0000"/>
          <w:sz w:val="22"/>
          <w:szCs w:val="22"/>
        </w:rPr>
        <w:t>which includes:</w:t>
      </w:r>
    </w:p>
    <w:p w14:paraId="22F2AD90" w14:textId="11EFB8C5" w:rsidR="00CE593D" w:rsidRPr="00E75BD7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FF0000"/>
          <w:sz w:val="22"/>
          <w:szCs w:val="22"/>
        </w:rPr>
      </w:pPr>
      <w:hyperlink r:id="rId12" w:history="1">
        <w:r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England: Guidance</w:t>
        </w:r>
      </w:hyperlink>
      <w:r w:rsidR="004E7A19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5F786AC0" w:rsidRPr="634B2577">
        <w:rPr>
          <w:rFonts w:ascii="Arial" w:hAnsi="Arial" w:cs="Arial"/>
          <w:color w:val="FF0000"/>
          <w:sz w:val="22"/>
          <w:szCs w:val="22"/>
        </w:rPr>
        <w:t xml:space="preserve">and </w:t>
      </w:r>
      <w:hyperlink r:id="rId13">
        <w:r w:rsidR="00D840F3"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E75BD7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7C2D6F2E" w:rsidRPr="634B2577">
        <w:rPr>
          <w:rFonts w:ascii="Arial" w:hAnsi="Arial" w:cs="Arial"/>
          <w:color w:val="FF0000"/>
          <w:sz w:val="22"/>
          <w:szCs w:val="22"/>
        </w:rPr>
        <w:t>Eat Better, Start Better - Foundation Years</w:t>
      </w:r>
      <w:r w:rsidR="00E75BD7" w:rsidRPr="634B2577">
        <w:rPr>
          <w:rFonts w:ascii="Arial" w:hAnsi="Arial" w:cs="Arial"/>
          <w:color w:val="FF0000"/>
          <w:sz w:val="22"/>
          <w:szCs w:val="22"/>
        </w:rPr>
        <w:t>.</w:t>
      </w:r>
      <w:r w:rsidR="00093981" w:rsidRPr="634B257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3897056" w14:textId="08BB02D7" w:rsidR="00601EB7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64ED8DBE" w:rsidR="0093350C" w:rsidRPr="00D72995" w:rsidRDefault="00601EB7" w:rsidP="2B685EAF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B685EAF">
        <w:rPr>
          <w:rFonts w:ascii="Arial" w:hAnsi="Arial" w:cs="Arial"/>
          <w:sz w:val="22"/>
          <w:szCs w:val="22"/>
        </w:rPr>
        <w:lastRenderedPageBreak/>
        <w:t>The guidance in Safer Food Better Business</w:t>
      </w:r>
      <w:r w:rsidR="00077D50" w:rsidRPr="2B685EAF">
        <w:rPr>
          <w:rFonts w:ascii="Arial" w:hAnsi="Arial" w:cs="Arial"/>
          <w:sz w:val="22"/>
          <w:szCs w:val="22"/>
        </w:rPr>
        <w:t xml:space="preserve"> (Food Standards Agency 2020)</w:t>
      </w:r>
      <w:r w:rsidRPr="2B685EAF">
        <w:rPr>
          <w:rFonts w:ascii="Arial" w:hAnsi="Arial" w:cs="Arial"/>
          <w:sz w:val="22"/>
          <w:szCs w:val="22"/>
        </w:rPr>
        <w:t xml:space="preserve"> is </w:t>
      </w:r>
      <w:r w:rsidR="116F2CC8" w:rsidRPr="2B685EAF">
        <w:rPr>
          <w:rFonts w:ascii="Arial" w:hAnsi="Arial" w:cs="Arial"/>
          <w:sz w:val="22"/>
          <w:szCs w:val="22"/>
        </w:rPr>
        <w:t>always followed</w:t>
      </w:r>
      <w:r w:rsidR="00FD104E" w:rsidRPr="2B685EAF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6DB6" w14:textId="77777777" w:rsidR="009E7CD8" w:rsidRDefault="009E7CD8" w:rsidP="00327B06">
      <w:r>
        <w:separator/>
      </w:r>
    </w:p>
  </w:endnote>
  <w:endnote w:type="continuationSeparator" w:id="0">
    <w:p w14:paraId="285CA505" w14:textId="77777777" w:rsidR="009E7CD8" w:rsidRDefault="009E7CD8" w:rsidP="00327B06">
      <w:r>
        <w:continuationSeparator/>
      </w:r>
    </w:p>
  </w:endnote>
  <w:endnote w:type="continuationNotice" w:id="1">
    <w:p w14:paraId="209E1748" w14:textId="77777777" w:rsidR="009E7CD8" w:rsidRDefault="009E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7E77" w14:textId="77777777" w:rsidR="009E7CD8" w:rsidRDefault="009E7CD8" w:rsidP="00327B06">
      <w:r>
        <w:separator/>
      </w:r>
    </w:p>
  </w:footnote>
  <w:footnote w:type="continuationSeparator" w:id="0">
    <w:p w14:paraId="02269E90" w14:textId="77777777" w:rsidR="009E7CD8" w:rsidRDefault="009E7CD8" w:rsidP="00327B06">
      <w:r>
        <w:continuationSeparator/>
      </w:r>
    </w:p>
  </w:footnote>
  <w:footnote w:type="continuationNotice" w:id="1">
    <w:p w14:paraId="2265ECF5" w14:textId="77777777" w:rsidR="009E7CD8" w:rsidRDefault="009E7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4E6" w14:textId="456C7DD9" w:rsidR="00747D7D" w:rsidRDefault="00D02B76">
    <w:pPr>
      <w:pStyle w:val="Header"/>
    </w:pPr>
    <w:r>
      <w:rPr>
        <w:noProof/>
      </w:rPr>
      <w:drawing>
        <wp:inline distT="0" distB="0" distL="0" distR="0" wp14:anchorId="6E24C559" wp14:editId="13B3C72B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E7CD8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2B76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E50AA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Aishah J</cp:lastModifiedBy>
  <cp:revision>18</cp:revision>
  <cp:lastPrinted>2018-05-03T10:47:00Z</cp:lastPrinted>
  <dcterms:created xsi:type="dcterms:W3CDTF">2024-01-02T15:52:00Z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