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344" w14:textId="0E6E2795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>taff, parent</w:t>
      </w:r>
      <w:r w:rsidR="293AF1BD" w:rsidRPr="0D63DE83">
        <w:rPr>
          <w:rFonts w:ascii="Arial" w:hAnsi="Arial" w:cs="Arial"/>
          <w:color w:val="FF0000"/>
          <w:sz w:val="22"/>
          <w:szCs w:val="22"/>
        </w:rPr>
        <w:t>, carer</w:t>
      </w:r>
      <w:r w:rsidR="00000023" w:rsidRPr="0D63DE83">
        <w:rPr>
          <w:rFonts w:ascii="Arial" w:hAnsi="Arial" w:cs="Arial"/>
          <w:color w:val="FF0000"/>
          <w:sz w:val="22"/>
          <w:szCs w:val="22"/>
        </w:rPr>
        <w:t xml:space="preserve"> </w:t>
      </w:r>
      <w:r w:rsidR="00000023" w:rsidRPr="0D63DE83">
        <w:rPr>
          <w:rFonts w:ascii="Arial" w:hAnsi="Arial" w:cs="Arial"/>
          <w:sz w:val="22"/>
          <w:szCs w:val="22"/>
        </w:rPr>
        <w:t>or visitor mugged or 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5C8AC6AA" w:rsidR="008F63B4" w:rsidRPr="009A581C" w:rsidRDefault="008F63B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The designated</w:t>
      </w:r>
      <w:r w:rsidR="00006D0C" w:rsidRPr="0D63DE83">
        <w:rPr>
          <w:rFonts w:ascii="Arial" w:hAnsi="Arial" w:cs="Arial"/>
          <w:sz w:val="22"/>
          <w:szCs w:val="22"/>
        </w:rPr>
        <w:t xml:space="preserve"> health and safety officer</w:t>
      </w:r>
      <w:r w:rsidR="005918B6" w:rsidRPr="0D63DE83">
        <w:rPr>
          <w:rFonts w:ascii="Arial" w:hAnsi="Arial" w:cs="Arial"/>
          <w:color w:val="FF0000"/>
          <w:sz w:val="22"/>
          <w:szCs w:val="22"/>
        </w:rPr>
        <w:t xml:space="preserve"> or </w:t>
      </w:r>
      <w:r w:rsidR="12531D92" w:rsidRPr="0D63DE83">
        <w:rPr>
          <w:rFonts w:ascii="Arial" w:hAnsi="Arial" w:cs="Arial"/>
          <w:color w:val="FF0000"/>
          <w:sz w:val="22"/>
          <w:szCs w:val="22"/>
        </w:rPr>
        <w:t>another</w:t>
      </w:r>
      <w:r w:rsidR="005918B6" w:rsidRPr="0D63DE83">
        <w:rPr>
          <w:rFonts w:ascii="Arial" w:hAnsi="Arial" w:cs="Arial"/>
          <w:color w:val="FF0000"/>
          <w:sz w:val="22"/>
          <w:szCs w:val="22"/>
        </w:rPr>
        <w:t xml:space="preserve"> named person</w:t>
      </w:r>
      <w:r w:rsidRPr="0D63DE83">
        <w:rPr>
          <w:rFonts w:ascii="Arial" w:hAnsi="Arial" w:cs="Arial"/>
          <w:color w:val="FF0000"/>
          <w:sz w:val="22"/>
          <w:szCs w:val="22"/>
        </w:rPr>
        <w:t>: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1E273791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E84165">
        <w:rPr>
          <w:rFonts w:ascii="Arial" w:hAnsi="Arial" w:cs="Arial"/>
          <w:sz w:val="22"/>
          <w:szCs w:val="22"/>
        </w:rPr>
        <w:t>risk assess the situation and decide</w:t>
      </w:r>
      <w:r w:rsidR="007A70D4" w:rsidRPr="60E84165">
        <w:rPr>
          <w:rFonts w:ascii="Arial" w:hAnsi="Arial" w:cs="Arial"/>
          <w:sz w:val="22"/>
          <w:szCs w:val="22"/>
        </w:rPr>
        <w:t>s, with the owners/trustees/directors,</w:t>
      </w:r>
      <w:r w:rsidRPr="60E84165">
        <w:rPr>
          <w:rFonts w:ascii="Arial" w:hAnsi="Arial" w:cs="Arial"/>
          <w:sz w:val="22"/>
          <w:szCs w:val="22"/>
        </w:rPr>
        <w:t xml:space="preserve"> if the premises are safe to receive children</w:t>
      </w:r>
      <w:r w:rsidRPr="60E84165">
        <w:rPr>
          <w:rFonts w:ascii="Arial" w:hAnsi="Arial" w:cs="Arial"/>
          <w:color w:val="FF0000"/>
          <w:sz w:val="22"/>
          <w:szCs w:val="22"/>
        </w:rPr>
        <w:t xml:space="preserve"> before any children </w:t>
      </w:r>
      <w:r w:rsidR="00350A3C" w:rsidRPr="60E84165">
        <w:rPr>
          <w:rFonts w:ascii="Arial" w:hAnsi="Arial" w:cs="Arial"/>
          <w:color w:val="FF0000"/>
          <w:sz w:val="22"/>
          <w:szCs w:val="22"/>
        </w:rPr>
        <w:t>arrive</w:t>
      </w:r>
      <w:r w:rsidR="007A70D4" w:rsidRPr="60E84165">
        <w:rPr>
          <w:rFonts w:ascii="Arial" w:hAnsi="Arial" w:cs="Arial"/>
          <w:color w:val="FF0000"/>
          <w:sz w:val="22"/>
          <w:szCs w:val="22"/>
        </w:rPr>
        <w:t xml:space="preserve"> or to </w:t>
      </w:r>
      <w:r w:rsidRPr="60E84165">
        <w:rPr>
          <w:rFonts w:ascii="Arial" w:hAnsi="Arial" w:cs="Arial"/>
          <w:color w:val="FF0000"/>
          <w:sz w:val="22"/>
          <w:szCs w:val="22"/>
        </w:rPr>
        <w:t>offer a limited service</w:t>
      </w:r>
    </w:p>
    <w:p w14:paraId="67CEEB25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36" w14:paraId="3AB2F390" w14:textId="77777777" w:rsidTr="00390436">
        <w:tc>
          <w:tcPr>
            <w:tcW w:w="9016" w:type="dxa"/>
          </w:tcPr>
          <w:p w14:paraId="5CE79102" w14:textId="5E2AD1C0" w:rsidR="00390436" w:rsidRPr="00390436" w:rsidRDefault="00390436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90436">
              <w:rPr>
                <w:rFonts w:ascii="Arial" w:hAnsi="Arial" w:cs="Arial"/>
                <w:bCs/>
                <w:i/>
                <w:sz w:val="22"/>
                <w:szCs w:val="22"/>
              </w:rPr>
              <w:t>Insert emergency procedures i.e. route, responsibilities, designated assembly point and other emergency procedures unique to the setting e.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g.</w:t>
            </w:r>
            <w:r w:rsidRPr="0039043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nuclear power station alert.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23459D54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A parent</w:t>
      </w:r>
      <w:r w:rsidR="005918B6" w:rsidRPr="0D63DE83">
        <w:rPr>
          <w:rFonts w:ascii="Arial" w:hAnsi="Arial" w:cs="Arial"/>
          <w:color w:val="FF0000"/>
          <w:sz w:val="22"/>
          <w:szCs w:val="22"/>
        </w:rPr>
        <w:t>/carer</w:t>
      </w:r>
      <w:r w:rsidRPr="00AE593A">
        <w:rPr>
          <w:rFonts w:ascii="Arial" w:hAnsi="Arial" w:cs="Arial"/>
          <w:color w:val="FF0000"/>
          <w:sz w:val="22"/>
          <w:szCs w:val="22"/>
        </w:rPr>
        <w:t xml:space="preserve"> </w:t>
      </w:r>
      <w:r w:rsidRPr="0D63DE83">
        <w:rPr>
          <w:rFonts w:ascii="Arial" w:hAnsi="Arial" w:cs="Arial"/>
          <w:sz w:val="22"/>
          <w:szCs w:val="22"/>
        </w:rPr>
        <w:t>makes the 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lastRenderedPageBreak/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>the childminder agenc</w:t>
      </w:r>
      <w:r w:rsidR="5923C411" w:rsidRPr="0D63DE83">
        <w:rPr>
          <w:rFonts w:ascii="Arial" w:hAnsi="Arial" w:cs="Arial"/>
          <w:color w:val="FF0000"/>
          <w:sz w:val="22"/>
          <w:szCs w:val="22"/>
        </w:rPr>
        <w:t>y,</w:t>
      </w:r>
      <w:r w:rsidRPr="0D63DE83">
        <w:rPr>
          <w:rFonts w:ascii="Arial" w:hAnsi="Arial" w:cs="Arial"/>
          <w:sz w:val="22"/>
          <w:szCs w:val="22"/>
        </w:rPr>
        <w:t xml:space="preserve"> </w:t>
      </w:r>
      <w:r w:rsidR="45F29B53" w:rsidRPr="0D63DE83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2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lastRenderedPageBreak/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Pr="00360F76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sectPr w:rsidR="00783C37" w:rsidRPr="00360F76" w:rsidSect="00192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E65C" w14:textId="77777777" w:rsidR="00125ABC" w:rsidRDefault="00125ABC">
      <w:r>
        <w:separator/>
      </w:r>
    </w:p>
  </w:endnote>
  <w:endnote w:type="continuationSeparator" w:id="0">
    <w:p w14:paraId="65FDAE5A" w14:textId="77777777" w:rsidR="00125ABC" w:rsidRDefault="00125ABC">
      <w:r>
        <w:continuationSeparator/>
      </w:r>
    </w:p>
  </w:endnote>
  <w:endnote w:type="continuationNotice" w:id="1">
    <w:p w14:paraId="100B280D" w14:textId="77777777" w:rsidR="00125ABC" w:rsidRDefault="00125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FB28" w14:textId="77777777" w:rsidR="00185EAD" w:rsidRDefault="00185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56E87ABE" w:rsidR="00D675A1" w:rsidRPr="0034363D" w:rsidRDefault="0D63DE83" w:rsidP="0D63DE83">
    <w:pPr>
      <w:pStyle w:val="Footer"/>
      <w:rPr>
        <w:rFonts w:ascii="Arial" w:hAnsi="Arial" w:cs="Arial"/>
        <w:i/>
        <w:iCs/>
        <w:color w:val="FF0000"/>
        <w:sz w:val="20"/>
      </w:rPr>
    </w:pPr>
    <w:r w:rsidRPr="0D63DE83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8C1A" w14:textId="77777777" w:rsidR="00185EAD" w:rsidRDefault="0018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E919" w14:textId="77777777" w:rsidR="00125ABC" w:rsidRDefault="00125ABC">
      <w:r>
        <w:separator/>
      </w:r>
    </w:p>
  </w:footnote>
  <w:footnote w:type="continuationSeparator" w:id="0">
    <w:p w14:paraId="792D4CE9" w14:textId="77777777" w:rsidR="00125ABC" w:rsidRDefault="00125ABC">
      <w:r>
        <w:continuationSeparator/>
      </w:r>
    </w:p>
  </w:footnote>
  <w:footnote w:type="continuationNotice" w:id="1">
    <w:p w14:paraId="5FB39EF6" w14:textId="77777777" w:rsidR="00125ABC" w:rsidRDefault="00125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F67" w14:textId="77777777" w:rsidR="00185EAD" w:rsidRDefault="00185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2D86" w14:textId="212D4AF9" w:rsidR="00185EAD" w:rsidRDefault="00185EAD">
    <w:pPr>
      <w:pStyle w:val="Header"/>
    </w:pPr>
    <w:r>
      <w:rPr>
        <w:noProof/>
      </w:rPr>
      <w:drawing>
        <wp:inline distT="0" distB="0" distL="0" distR="0" wp14:anchorId="61A1EB40" wp14:editId="1BCAEA51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7814" w14:textId="77777777" w:rsidR="00185EAD" w:rsidRDefault="00185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5ABC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5EAD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ddor/report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45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919</Words>
  <Characters>5243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16</cp:revision>
  <cp:lastPrinted>2018-05-03T11:09:00Z</cp:lastPrinted>
  <dcterms:created xsi:type="dcterms:W3CDTF">2024-01-31T10:20:00Z</dcterms:created>
  <dcterms:modified xsi:type="dcterms:W3CDTF">2025-09-17T12:32:00Z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